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682A6" w14:textId="18453812" w:rsidR="002A3419" w:rsidRPr="003253F8" w:rsidRDefault="002A3419" w:rsidP="002A3419">
      <w:pPr>
        <w:spacing w:line="240" w:lineRule="auto"/>
        <w:rPr>
          <w:rFonts w:ascii="Adobe Garamond Pro" w:hAnsi="Adobe Garamond Pro"/>
          <w:b/>
          <w:bCs/>
          <w:sz w:val="36"/>
          <w:szCs w:val="32"/>
          <w:lang w:val="en-US"/>
        </w:rPr>
      </w:pPr>
      <w:r w:rsidRPr="003253F8">
        <w:rPr>
          <w:rFonts w:ascii="Adobe Garamond Pro" w:hAnsi="Adobe Garamond Pro"/>
          <w:b/>
          <w:bCs/>
          <w:sz w:val="36"/>
          <w:szCs w:val="32"/>
          <w:lang w:val="en-US"/>
        </w:rPr>
        <w:t>Form F 10. Article 5 k)</w:t>
      </w:r>
      <w:r w:rsidRPr="002A3419">
        <w:rPr>
          <w:b/>
          <w:bCs/>
          <w:lang w:val="en-GB"/>
        </w:rPr>
        <w:t xml:space="preserve"> </w:t>
      </w:r>
      <w:r w:rsidRPr="003253F8">
        <w:rPr>
          <w:rFonts w:ascii="Adobe Garamond Pro" w:hAnsi="Adobe Garamond Pro"/>
          <w:b/>
          <w:bCs/>
          <w:sz w:val="36"/>
          <w:szCs w:val="32"/>
          <w:lang w:val="en-US"/>
        </w:rPr>
        <w:t>of Regulation (EU) No. 833/2014</w:t>
      </w:r>
    </w:p>
    <w:p w14:paraId="702F01EE" w14:textId="46C2C1C6" w:rsidR="002A3419" w:rsidRPr="002A3419" w:rsidRDefault="002A3419" w:rsidP="002A3419">
      <w:pPr>
        <w:spacing w:after="0" w:line="240" w:lineRule="auto"/>
        <w:rPr>
          <w:rFonts w:ascii="Adobe Garamond Pro" w:eastAsia="Times New Roman" w:hAnsi="Adobe Garamond Pro" w:cs="Times New Roman"/>
          <w:bCs/>
          <w:sz w:val="24"/>
          <w:szCs w:val="32"/>
          <w:lang w:val="en-GB" w:eastAsia="de-DE"/>
        </w:rPr>
      </w:pPr>
      <w:r w:rsidRPr="002A3419">
        <w:rPr>
          <w:rFonts w:ascii="Adobe Garamond Pro" w:eastAsia="Times New Roman" w:hAnsi="Adobe Garamond Pro" w:cs="Times New Roman"/>
          <w:bCs/>
          <w:sz w:val="24"/>
          <w:szCs w:val="32"/>
          <w:lang w:val="en-GB" w:eastAsia="de-DE"/>
        </w:rPr>
        <w:t>Organisation of a Marketing Programme for German Wine in</w:t>
      </w:r>
      <w:r w:rsidR="00FE6826">
        <w:rPr>
          <w:rFonts w:ascii="Adobe Garamond Pro" w:eastAsia="Times New Roman" w:hAnsi="Adobe Garamond Pro" w:cs="Times New Roman"/>
          <w:bCs/>
          <w:sz w:val="24"/>
          <w:szCs w:val="32"/>
          <w:lang w:val="en-GB" w:eastAsia="de-DE"/>
        </w:rPr>
        <w:t xml:space="preserve"> </w:t>
      </w:r>
      <w:r w:rsidR="00B8041F">
        <w:rPr>
          <w:rFonts w:ascii="Adobe Garamond Pro" w:eastAsia="Times New Roman" w:hAnsi="Adobe Garamond Pro" w:cs="Times New Roman"/>
          <w:bCs/>
          <w:sz w:val="24"/>
          <w:szCs w:val="32"/>
          <w:lang w:val="en-GB" w:eastAsia="de-DE"/>
        </w:rPr>
        <w:t>the United States of America</w:t>
      </w:r>
    </w:p>
    <w:p w14:paraId="44DCC633" w14:textId="3890AF5C" w:rsidR="002A3419" w:rsidRPr="002A3419" w:rsidRDefault="002A3419" w:rsidP="002A3419">
      <w:pPr>
        <w:spacing w:line="240" w:lineRule="auto"/>
        <w:rPr>
          <w:rFonts w:ascii="Adobe Garamond Pro" w:eastAsia="Times New Roman" w:hAnsi="Adobe Garamond Pro" w:cs="Times New Roman"/>
          <w:bCs/>
          <w:sz w:val="24"/>
          <w:szCs w:val="32"/>
          <w:lang w:val="en-GB" w:eastAsia="de-DE"/>
        </w:rPr>
      </w:pPr>
      <w:r w:rsidRPr="002A3419">
        <w:rPr>
          <w:rFonts w:ascii="Adobe Garamond Pro" w:eastAsia="Times New Roman" w:hAnsi="Adobe Garamond Pro" w:cs="Times New Roman"/>
          <w:bCs/>
          <w:sz w:val="24"/>
          <w:szCs w:val="32"/>
          <w:lang w:val="en-GB" w:eastAsia="de-DE"/>
        </w:rPr>
        <w:t xml:space="preserve">Award procedure number: DWI </w:t>
      </w:r>
      <w:r w:rsidR="0007604B">
        <w:rPr>
          <w:rFonts w:ascii="Adobe Garamond Pro" w:eastAsia="Times New Roman" w:hAnsi="Adobe Garamond Pro" w:cs="Times New Roman"/>
          <w:bCs/>
          <w:sz w:val="24"/>
          <w:szCs w:val="32"/>
          <w:lang w:val="en-GB" w:eastAsia="de-DE"/>
        </w:rPr>
        <w:t>202</w:t>
      </w:r>
      <w:r w:rsidR="007F0766">
        <w:rPr>
          <w:rFonts w:ascii="Adobe Garamond Pro" w:eastAsia="Times New Roman" w:hAnsi="Adobe Garamond Pro" w:cs="Times New Roman"/>
          <w:bCs/>
          <w:sz w:val="24"/>
          <w:szCs w:val="32"/>
          <w:lang w:val="en-GB" w:eastAsia="de-DE"/>
        </w:rPr>
        <w:t>6</w:t>
      </w:r>
      <w:r w:rsidR="0007604B">
        <w:rPr>
          <w:rFonts w:ascii="Adobe Garamond Pro" w:eastAsia="Times New Roman" w:hAnsi="Adobe Garamond Pro" w:cs="Times New Roman"/>
          <w:bCs/>
          <w:sz w:val="24"/>
          <w:szCs w:val="32"/>
          <w:lang w:val="en-GB" w:eastAsia="de-DE"/>
        </w:rPr>
        <w:t>-</w:t>
      </w:r>
      <w:r w:rsidR="00B8041F">
        <w:rPr>
          <w:rFonts w:ascii="Adobe Garamond Pro" w:eastAsia="Times New Roman" w:hAnsi="Adobe Garamond Pro" w:cs="Times New Roman"/>
          <w:bCs/>
          <w:sz w:val="24"/>
          <w:szCs w:val="32"/>
          <w:lang w:val="en-GB" w:eastAsia="de-DE"/>
        </w:rPr>
        <w:t>10</w:t>
      </w:r>
    </w:p>
    <w:p w14:paraId="2EB140AC" w14:textId="77777777" w:rsidR="002A3419" w:rsidRPr="003253F8" w:rsidRDefault="002A3419" w:rsidP="002A3419">
      <w:pPr>
        <w:spacing w:line="240" w:lineRule="auto"/>
        <w:rPr>
          <w:rFonts w:ascii="Adobe Garamond Pro" w:hAnsi="Adobe Garamond Pro"/>
          <w:b/>
          <w:bCs/>
          <w:sz w:val="36"/>
          <w:szCs w:val="32"/>
          <w:lang w:val="en-US"/>
        </w:rPr>
      </w:pPr>
    </w:p>
    <w:p w14:paraId="492AC0CF" w14:textId="332BB450" w:rsidR="003F0487" w:rsidRPr="003253F8" w:rsidRDefault="003F0487" w:rsidP="002A3419">
      <w:pPr>
        <w:spacing w:line="240" w:lineRule="auto"/>
        <w:rPr>
          <w:rFonts w:ascii="Adobe Garamond Pro" w:hAnsi="Adobe Garamond Pro"/>
          <w:b/>
          <w:bCs/>
          <w:sz w:val="36"/>
          <w:szCs w:val="32"/>
          <w:lang w:val="en-US"/>
        </w:rPr>
      </w:pPr>
      <w:r w:rsidRPr="003253F8">
        <w:rPr>
          <w:rFonts w:ascii="Adobe Garamond Pro" w:hAnsi="Adobe Garamond Pro"/>
          <w:b/>
          <w:bCs/>
          <w:sz w:val="36"/>
          <w:szCs w:val="32"/>
          <w:lang w:val="en-US"/>
        </w:rPr>
        <w:t xml:space="preserve">Self-declaration </w:t>
      </w:r>
    </w:p>
    <w:p w14:paraId="22251717" w14:textId="77FF30D3" w:rsidR="002A3419" w:rsidRPr="003253F8" w:rsidRDefault="002A3419" w:rsidP="002A3419">
      <w:pPr>
        <w:spacing w:before="140"/>
        <w:rPr>
          <w:rFonts w:ascii="Adobe Garamond Pro Bold" w:hAnsi="Adobe Garamond Pro Bold"/>
          <w:lang w:val="en-US"/>
        </w:rPr>
      </w:pPr>
      <w:r w:rsidRPr="003253F8">
        <w:rPr>
          <w:rFonts w:ascii="Adobe Garamond Pro Bold" w:hAnsi="Adobe Garamond Pro Bold"/>
          <w:lang w:val="en-US"/>
        </w:rPr>
        <w:t>Information on the economic operator</w:t>
      </w:r>
    </w:p>
    <w:p w14:paraId="78263A7B" w14:textId="7098868A" w:rsidR="002A3419" w:rsidRDefault="002A3419" w:rsidP="003F0487">
      <w:pPr>
        <w:spacing w:after="200" w:line="276" w:lineRule="auto"/>
        <w:rPr>
          <w:rFonts w:ascii="BundesSerif Office" w:eastAsia="BundesSerif Office" w:hAnsi="BundesSerif Office" w:cs="Times New Roman"/>
          <w:b/>
          <w:bCs/>
          <w:lang w:val="en"/>
        </w:rPr>
      </w:pPr>
      <w:r>
        <w:rPr>
          <w:rFonts w:ascii="Adobe Garamond Pro" w:hAnsi="Adobe Garamond Pro"/>
          <w:noProof/>
          <w:lang w:eastAsia="de-DE"/>
        </w:rPr>
        <mc:AlternateContent>
          <mc:Choice Requires="wpg">
            <w:drawing>
              <wp:anchor distT="0" distB="0" distL="114300" distR="114300" simplePos="0" relativeHeight="251659264" behindDoc="1" locked="0" layoutInCell="1" allowOverlap="1" wp14:anchorId="764AB473" wp14:editId="4FE75B29">
                <wp:simplePos x="0" y="0"/>
                <wp:positionH relativeFrom="margin">
                  <wp:posOffset>1354340</wp:posOffset>
                </wp:positionH>
                <wp:positionV relativeFrom="paragraph">
                  <wp:posOffset>240665</wp:posOffset>
                </wp:positionV>
                <wp:extent cx="4391025" cy="297815"/>
                <wp:effectExtent l="0" t="0" r="9525" b="0"/>
                <wp:wrapNone/>
                <wp:docPr id="7"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1025" cy="297815"/>
                          <a:chOff x="2968" y="307"/>
                          <a:chExt cx="7532" cy="289"/>
                        </a:xfrm>
                      </wpg:grpSpPr>
                      <wpg:grpSp>
                        <wpg:cNvPr id="8" name="Group 87"/>
                        <wpg:cNvGrpSpPr>
                          <a:grpSpLocks/>
                        </wpg:cNvGrpSpPr>
                        <wpg:grpSpPr bwMode="auto">
                          <a:xfrm>
                            <a:off x="2978" y="317"/>
                            <a:ext cx="7512" cy="269"/>
                            <a:chOff x="2978" y="317"/>
                            <a:chExt cx="7512" cy="269"/>
                          </a:xfrm>
                        </wpg:grpSpPr>
                        <wps:wsp>
                          <wps:cNvPr id="9"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85"/>
                        <wpg:cNvGrpSpPr>
                          <a:grpSpLocks/>
                        </wpg:cNvGrpSpPr>
                        <wpg:grpSpPr bwMode="auto">
                          <a:xfrm>
                            <a:off x="2978" y="559"/>
                            <a:ext cx="7512" cy="2"/>
                            <a:chOff x="2978" y="559"/>
                            <a:chExt cx="7512" cy="2"/>
                          </a:xfrm>
                        </wpg:grpSpPr>
                        <wps:wsp>
                          <wps:cNvPr id="11" name="Freeform 86"/>
                          <wps:cNvSpPr>
                            <a:spLocks/>
                          </wps:cNvSpPr>
                          <wps:spPr bwMode="auto">
                            <a:xfrm>
                              <a:off x="2978" y="559"/>
                              <a:ext cx="7512" cy="2"/>
                            </a:xfrm>
                            <a:custGeom>
                              <a:avLst/>
                              <a:gdLst>
                                <a:gd name="T0" fmla="+- 0 2978 2978"/>
                                <a:gd name="T1" fmla="*/ T0 w 7512"/>
                                <a:gd name="T2" fmla="+- 0 10490 2978"/>
                                <a:gd name="T3" fmla="*/ T2 w 7512"/>
                              </a:gdLst>
                              <a:ahLst/>
                              <a:cxnLst>
                                <a:cxn ang="0">
                                  <a:pos x="T1" y="0"/>
                                </a:cxn>
                                <a:cxn ang="0">
                                  <a:pos x="T3" y="0"/>
                                </a:cxn>
                              </a:cxnLst>
                              <a:rect l="0" t="0" r="r" b="b"/>
                              <a:pathLst>
                                <a:path w="7512">
                                  <a:moveTo>
                                    <a:pt x="0" y="0"/>
                                  </a:moveTo>
                                  <a:lnTo>
                                    <a:pt x="751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1ECA13" id="Group 84" o:spid="_x0000_s1026" style="position:absolute;margin-left:106.65pt;margin-top:18.95pt;width:345.75pt;height:23.45pt;z-index:-251657216;mso-position-horizontal-relative:margin" coordorigin="2968,307" coordsize="7532,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">
                <v:group id="Group 87" o:spid="_x0000_s1027" style="position:absolute;left:2978;top:317;width:7512;height:269" coordorigin="2978,317"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88" o:spid="_x0000_s1028"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" path="m,l7512,r,269l,269,,xe" fillcolor="#efefef" stroked="f">
                    <v:path arrowok="t" o:connecttype="custom" o:connectlocs="0,317;7512,317;7512,586;0,586;0,317" o:connectangles="0,0,0,0,0"/>
                  </v:shape>
                </v:group>
                <v:group id="Group 85" o:spid="_x0000_s1029" style="position:absolute;left:2978;top:559;width:7512;height:2" coordorigin="2978,559"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86" o:spid="_x0000_s1030" style="position:absolute;left:2978;top:559;width:7512;height:2;visibility:visible;mso-wrap-style:square;v-text-anchor:top"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" path="m,l7512,e" filled="f" strokeweight=".7pt">
                    <v:path arrowok="t" o:connecttype="custom" o:connectlocs="0,0;7512,0" o:connectangles="0,0"/>
                  </v:shape>
                </v:group>
                <w10:wrap anchorx="margin"/>
              </v:group>
            </w:pict>
          </mc:Fallback>
        </mc:AlternateContent>
      </w:r>
    </w:p>
    <w:p w14:paraId="61169A8B" w14:textId="4CF1BACF" w:rsidR="002A3419" w:rsidRPr="003253F8" w:rsidRDefault="002A3419" w:rsidP="002A3419">
      <w:pPr>
        <w:rPr>
          <w:rFonts w:ascii="Adobe Garamond Pro" w:hAnsi="Adobe Garamond Pro"/>
          <w:lang w:val="en-US"/>
        </w:rPr>
      </w:pPr>
      <w:r w:rsidRPr="003253F8">
        <w:rPr>
          <w:rFonts w:ascii="Adobe Garamond Pro" w:hAnsi="Adobe Garamond Pro"/>
          <w:lang w:val="en-US"/>
        </w:rPr>
        <w:t xml:space="preserve">Name of declarant: </w:t>
      </w:r>
    </w:p>
    <w:p w14:paraId="1B13D258" w14:textId="2FE7B546" w:rsidR="002A3419" w:rsidRPr="003253F8" w:rsidRDefault="002A3419" w:rsidP="002A3419">
      <w:pPr>
        <w:rPr>
          <w:rFonts w:ascii="Adobe Garamond Pro" w:hAnsi="Adobe Garamond Pro"/>
          <w:lang w:val="en-US"/>
        </w:rPr>
      </w:pPr>
      <w:r>
        <w:rPr>
          <w:rFonts w:ascii="Adobe Garamond Pro" w:hAnsi="Adobe Garamond Pro"/>
          <w:noProof/>
          <w:lang w:eastAsia="de-DE"/>
        </w:rPr>
        <mc:AlternateContent>
          <mc:Choice Requires="wpg">
            <w:drawing>
              <wp:anchor distT="0" distB="0" distL="114300" distR="114300" simplePos="0" relativeHeight="251661312" behindDoc="1" locked="0" layoutInCell="1" allowOverlap="1" wp14:anchorId="1D9312F5" wp14:editId="7462FB53">
                <wp:simplePos x="0" y="0"/>
                <wp:positionH relativeFrom="margin">
                  <wp:posOffset>1356245</wp:posOffset>
                </wp:positionH>
                <wp:positionV relativeFrom="paragraph">
                  <wp:posOffset>5860</wp:posOffset>
                </wp:positionV>
                <wp:extent cx="4391025" cy="297815"/>
                <wp:effectExtent l="0" t="0" r="9525" b="0"/>
                <wp:wrapNone/>
                <wp:docPr id="1"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1025" cy="297815"/>
                          <a:chOff x="2968" y="307"/>
                          <a:chExt cx="7532" cy="289"/>
                        </a:xfrm>
                      </wpg:grpSpPr>
                      <wpg:grpSp>
                        <wpg:cNvPr id="2" name="Group 87"/>
                        <wpg:cNvGrpSpPr>
                          <a:grpSpLocks/>
                        </wpg:cNvGrpSpPr>
                        <wpg:grpSpPr bwMode="auto">
                          <a:xfrm>
                            <a:off x="2978" y="317"/>
                            <a:ext cx="7512" cy="269"/>
                            <a:chOff x="2978" y="317"/>
                            <a:chExt cx="7512" cy="269"/>
                          </a:xfrm>
                        </wpg:grpSpPr>
                        <wps:wsp>
                          <wps:cNvPr id="3"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 name="Group 85"/>
                        <wpg:cNvGrpSpPr>
                          <a:grpSpLocks/>
                        </wpg:cNvGrpSpPr>
                        <wpg:grpSpPr bwMode="auto">
                          <a:xfrm>
                            <a:off x="2978" y="559"/>
                            <a:ext cx="7512" cy="2"/>
                            <a:chOff x="2978" y="559"/>
                            <a:chExt cx="7512" cy="2"/>
                          </a:xfrm>
                        </wpg:grpSpPr>
                        <wps:wsp>
                          <wps:cNvPr id="5" name="Freeform 86"/>
                          <wps:cNvSpPr>
                            <a:spLocks/>
                          </wps:cNvSpPr>
                          <wps:spPr bwMode="auto">
                            <a:xfrm>
                              <a:off x="2978" y="559"/>
                              <a:ext cx="7512" cy="2"/>
                            </a:xfrm>
                            <a:custGeom>
                              <a:avLst/>
                              <a:gdLst>
                                <a:gd name="T0" fmla="+- 0 2978 2978"/>
                                <a:gd name="T1" fmla="*/ T0 w 7512"/>
                                <a:gd name="T2" fmla="+- 0 10490 2978"/>
                                <a:gd name="T3" fmla="*/ T2 w 7512"/>
                              </a:gdLst>
                              <a:ahLst/>
                              <a:cxnLst>
                                <a:cxn ang="0">
                                  <a:pos x="T1" y="0"/>
                                </a:cxn>
                                <a:cxn ang="0">
                                  <a:pos x="T3" y="0"/>
                                </a:cxn>
                              </a:cxnLst>
                              <a:rect l="0" t="0" r="r" b="b"/>
                              <a:pathLst>
                                <a:path w="7512">
                                  <a:moveTo>
                                    <a:pt x="0" y="0"/>
                                  </a:moveTo>
                                  <a:lnTo>
                                    <a:pt x="751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73B0B7" id="Group 84" o:spid="_x0000_s1026" style="position:absolute;margin-left:106.8pt;margin-top:.45pt;width:345.75pt;height:23.45pt;z-index:-251655168;mso-position-horizontal-relative:margin" coordorigin="2968,307" coordsize="7532,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">
                <v:group id="Group 87" o:spid="_x0000_s1027" style="position:absolute;left:2978;top:317;width:7512;height:269" coordorigin="2978,317"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88" o:spid="_x0000_s1028"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" path="m,l7512,r,269l,269,,xe" fillcolor="#efefef" stroked="f">
                    <v:path arrowok="t" o:connecttype="custom" o:connectlocs="0,317;7512,317;7512,586;0,586;0,317" o:connectangles="0,0,0,0,0"/>
                  </v:shape>
                </v:group>
                <v:group id="Group 85" o:spid="_x0000_s1029" style="position:absolute;left:2978;top:559;width:7512;height:2" coordorigin="2978,559"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86" o:spid="_x0000_s1030" style="position:absolute;left:2978;top:559;width:7512;height:2;visibility:visible;mso-wrap-style:square;v-text-anchor:top"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" path="m,l7512,e" filled="f" strokeweight=".7pt">
                    <v:path arrowok="t" o:connecttype="custom" o:connectlocs="0,0;7512,0" o:connectangles="0,0"/>
                  </v:shape>
                </v:group>
                <w10:wrap anchorx="margin"/>
              </v:group>
            </w:pict>
          </mc:Fallback>
        </mc:AlternateContent>
      </w:r>
      <w:r w:rsidRPr="003253F8">
        <w:rPr>
          <w:rFonts w:ascii="Adobe Garamond Pro" w:hAnsi="Adobe Garamond Pro"/>
          <w:lang w:val="en-US"/>
        </w:rPr>
        <w:t>Company:</w:t>
      </w:r>
      <w:r w:rsidRPr="003253F8">
        <w:rPr>
          <w:rFonts w:ascii="Adobe Garamond Pro" w:hAnsi="Adobe Garamond Pro"/>
          <w:noProof/>
          <w:lang w:val="en-US"/>
        </w:rPr>
        <w:t xml:space="preserve"> </w:t>
      </w:r>
    </w:p>
    <w:p w14:paraId="62793E87" w14:textId="77777777" w:rsidR="002A3419" w:rsidRPr="00D90770" w:rsidRDefault="002A3419" w:rsidP="002A3419">
      <w:pPr>
        <w:pStyle w:val="Textkrper"/>
        <w:ind w:left="0"/>
        <w:rPr>
          <w:rFonts w:ascii="Adobe Garamond Pro" w:hAnsi="Adobe Garamond Pro"/>
          <w:b/>
          <w:sz w:val="22"/>
          <w:szCs w:val="22"/>
        </w:rPr>
      </w:pPr>
    </w:p>
    <w:p w14:paraId="6060A299" w14:textId="77777777" w:rsidR="002A3419" w:rsidRPr="00D90770" w:rsidRDefault="002A3419" w:rsidP="002A3419">
      <w:pPr>
        <w:pStyle w:val="Textkrper"/>
        <w:tabs>
          <w:tab w:val="left" w:pos="2142"/>
          <w:tab w:val="left" w:pos="4820"/>
          <w:tab w:val="left" w:pos="6663"/>
        </w:tabs>
        <w:ind w:left="0"/>
        <w:rPr>
          <w:rFonts w:ascii="Adobe Garamond Pro" w:hAnsi="Adobe Garamond Pro"/>
          <w:b/>
          <w:sz w:val="22"/>
          <w:szCs w:val="22"/>
        </w:rPr>
      </w:pPr>
      <w:r>
        <w:rPr>
          <w:rFonts w:ascii="Adobe Garamond Pro" w:hAnsi="Adobe Garamond Pro"/>
          <w:sz w:val="22"/>
          <w:szCs w:val="22"/>
        </w:rPr>
        <w:tab/>
      </w:r>
      <w:r w:rsidRPr="004C3416">
        <w:rPr>
          <w:rFonts w:ascii="Adobe Garamond Pro" w:hAnsi="Adobe Garamond Pro"/>
          <w:sz w:val="22"/>
          <w:szCs w:val="22"/>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z w:val="22"/>
          <w:szCs w:val="22"/>
          <w:shd w:val="clear" w:color="auto" w:fill="F2F2F2" w:themeFill="background1" w:themeFillShade="F2"/>
        </w:rPr>
        <w:instrText xml:space="preserve"> FORMCHECKBOX </w:instrText>
      </w:r>
      <w:r w:rsidRPr="004C3416">
        <w:rPr>
          <w:rFonts w:ascii="Adobe Garamond Pro" w:hAnsi="Adobe Garamond Pro"/>
          <w:sz w:val="22"/>
          <w:szCs w:val="22"/>
          <w:shd w:val="clear" w:color="auto" w:fill="F2F2F2" w:themeFill="background1" w:themeFillShade="F2"/>
        </w:rPr>
      </w:r>
      <w:r w:rsidRPr="004C3416">
        <w:rPr>
          <w:rFonts w:ascii="Adobe Garamond Pro" w:hAnsi="Adobe Garamond Pro"/>
          <w:sz w:val="22"/>
          <w:szCs w:val="22"/>
          <w:shd w:val="clear" w:color="auto" w:fill="F2F2F2" w:themeFill="background1" w:themeFillShade="F2"/>
        </w:rPr>
        <w:fldChar w:fldCharType="separate"/>
      </w:r>
      <w:r w:rsidRPr="004C3416">
        <w:rPr>
          <w:rFonts w:ascii="Adobe Garamond Pro" w:hAnsi="Adobe Garamond Pro"/>
          <w:sz w:val="22"/>
          <w:szCs w:val="22"/>
          <w:shd w:val="clear" w:color="auto" w:fill="F2F2F2" w:themeFill="background1" w:themeFillShade="F2"/>
        </w:rPr>
        <w:fldChar w:fldCharType="end"/>
      </w:r>
      <w:r>
        <w:rPr>
          <w:rFonts w:ascii="Adobe Garamond Pro" w:hAnsi="Adobe Garamond Pro"/>
          <w:sz w:val="22"/>
          <w:szCs w:val="22"/>
        </w:rPr>
        <w:t xml:space="preserve"> </w:t>
      </w:r>
      <w:r>
        <w:rPr>
          <w:rFonts w:ascii="Adobe Garamond Pro" w:hAnsi="Adobe Garamond Pro"/>
          <w:b/>
          <w:sz w:val="22"/>
          <w:szCs w:val="22"/>
        </w:rPr>
        <w:t xml:space="preserve">Applicant/Bidder </w:t>
      </w:r>
      <w:r>
        <w:rPr>
          <w:rFonts w:ascii="Adobe Garamond Pro" w:hAnsi="Adobe Garamond Pro"/>
          <w:b/>
          <w:sz w:val="22"/>
          <w:szCs w:val="22"/>
        </w:rPr>
        <w:tab/>
      </w:r>
      <w:r w:rsidRPr="004C3416">
        <w:rPr>
          <w:rFonts w:ascii="Adobe Garamond Pro" w:hAnsi="Adobe Garamond Pro"/>
          <w:sz w:val="22"/>
          <w:szCs w:val="22"/>
          <w:shd w:val="clear" w:color="auto" w:fill="F2F2F2" w:themeFill="background1" w:themeFillShade="F2"/>
        </w:rPr>
        <w:fldChar w:fldCharType="begin">
          <w:ffData>
            <w:name w:val=""/>
            <w:enabled/>
            <w:calcOnExit w:val="0"/>
            <w:checkBox>
              <w:sizeAuto/>
              <w:default w:val="0"/>
            </w:checkBox>
          </w:ffData>
        </w:fldChar>
      </w:r>
      <w:r w:rsidRPr="004C3416">
        <w:rPr>
          <w:rFonts w:ascii="Adobe Garamond Pro" w:hAnsi="Adobe Garamond Pro"/>
          <w:sz w:val="22"/>
          <w:szCs w:val="22"/>
          <w:shd w:val="clear" w:color="auto" w:fill="F2F2F2" w:themeFill="background1" w:themeFillShade="F2"/>
        </w:rPr>
        <w:instrText xml:space="preserve"> FORMCHECKBOX </w:instrText>
      </w:r>
      <w:r w:rsidRPr="004C3416">
        <w:rPr>
          <w:rFonts w:ascii="Adobe Garamond Pro" w:hAnsi="Adobe Garamond Pro"/>
          <w:sz w:val="22"/>
          <w:szCs w:val="22"/>
          <w:shd w:val="clear" w:color="auto" w:fill="F2F2F2" w:themeFill="background1" w:themeFillShade="F2"/>
        </w:rPr>
      </w:r>
      <w:r w:rsidRPr="004C3416">
        <w:rPr>
          <w:rFonts w:ascii="Adobe Garamond Pro" w:hAnsi="Adobe Garamond Pro"/>
          <w:sz w:val="22"/>
          <w:szCs w:val="22"/>
          <w:shd w:val="clear" w:color="auto" w:fill="F2F2F2" w:themeFill="background1" w:themeFillShade="F2"/>
        </w:rPr>
        <w:fldChar w:fldCharType="separate"/>
      </w:r>
      <w:r w:rsidRPr="004C3416">
        <w:rPr>
          <w:rFonts w:ascii="Adobe Garamond Pro" w:hAnsi="Adobe Garamond Pro"/>
          <w:sz w:val="22"/>
          <w:szCs w:val="22"/>
          <w:shd w:val="clear" w:color="auto" w:fill="F2F2F2" w:themeFill="background1" w:themeFillShade="F2"/>
        </w:rPr>
        <w:fldChar w:fldCharType="end"/>
      </w:r>
      <w:r>
        <w:rPr>
          <w:rFonts w:ascii="Adobe Garamond Pro" w:hAnsi="Adobe Garamond Pro"/>
          <w:sz w:val="22"/>
          <w:szCs w:val="22"/>
        </w:rPr>
        <w:t xml:space="preserve"> </w:t>
      </w:r>
      <w:r>
        <w:rPr>
          <w:rFonts w:ascii="Adobe Garamond Pro" w:hAnsi="Adobe Garamond Pro"/>
          <w:b/>
          <w:sz w:val="22"/>
          <w:szCs w:val="22"/>
        </w:rPr>
        <w:t xml:space="preserve">Member of the applicant/bidder consortium </w:t>
      </w:r>
    </w:p>
    <w:p w14:paraId="0D01D940" w14:textId="77777777" w:rsidR="002A3419" w:rsidRDefault="002A3419" w:rsidP="003F0487">
      <w:pPr>
        <w:spacing w:after="200" w:line="276" w:lineRule="auto"/>
        <w:rPr>
          <w:rFonts w:ascii="BundesSerif Office" w:eastAsia="BundesSerif Office" w:hAnsi="BundesSerif Office" w:cs="Times New Roman"/>
          <w:b/>
          <w:bCs/>
          <w:lang w:val="en"/>
        </w:rPr>
      </w:pPr>
    </w:p>
    <w:p w14:paraId="1414F551" w14:textId="22E9A330" w:rsidR="003F0487" w:rsidRPr="003253F8" w:rsidRDefault="003F0487" w:rsidP="003F0487">
      <w:pPr>
        <w:spacing w:after="200" w:line="276" w:lineRule="auto"/>
        <w:rPr>
          <w:rFonts w:ascii="Adobe Garamond Pro" w:eastAsia="BundesSerif Office" w:hAnsi="Adobe Garamond Pro" w:cs="Times New Roman"/>
          <w:b/>
          <w:lang w:val="en-US"/>
        </w:rPr>
      </w:pPr>
      <w:r w:rsidRPr="00C875C8">
        <w:rPr>
          <w:rFonts w:ascii="Adobe Garamond Pro" w:eastAsia="BundesSerif Office" w:hAnsi="Adobe Garamond Pro" w:cs="Times New Roman"/>
          <w:b/>
          <w:bCs/>
          <w:lang w:val="en"/>
        </w:rPr>
        <w:t>I/we make the following binding declaration (if applicable, at the same time as a representative acting on behalf of the persons represented according to the request to participate / tender):</w:t>
      </w:r>
    </w:p>
    <w:p w14:paraId="0313F14E" w14:textId="77777777" w:rsidR="003F0487" w:rsidRPr="003253F8" w:rsidRDefault="003F0487" w:rsidP="003F0487">
      <w:pPr>
        <w:spacing w:after="200" w:line="276" w:lineRule="auto"/>
        <w:rPr>
          <w:rFonts w:ascii="Adobe Garamond Pro" w:eastAsia="BundesSerif Office" w:hAnsi="Adobe Garamond Pro" w:cs="Times New Roman"/>
          <w:lang w:val="en-US"/>
        </w:rPr>
      </w:pPr>
      <w:r w:rsidRPr="00C875C8">
        <w:rPr>
          <w:rFonts w:ascii="Adobe Garamond Pro" w:eastAsia="BundesSerif Office" w:hAnsi="Adobe Garamond Pro" w:cs="Times New Roman"/>
          <w:lang w:val="en"/>
        </w:rPr>
        <w:t>1.</w:t>
      </w:r>
      <w:r w:rsidRPr="00C875C8">
        <w:rPr>
          <w:rFonts w:ascii="Adobe Garamond Pro" w:eastAsia="BundesSerif Office" w:hAnsi="Adobe Garamond Pro" w:cs="Times New Roman"/>
          <w:lang w:val="en"/>
        </w:rPr>
        <w:tab/>
        <w:t xml:space="preserve">The </w:t>
      </w:r>
      <w:r w:rsidRPr="00C875C8">
        <w:rPr>
          <w:rFonts w:ascii="Adobe Garamond Pro" w:eastAsia="BundesSerif Office" w:hAnsi="Adobe Garamond Pro" w:cs="Times New Roman"/>
          <w:b/>
          <w:bCs/>
          <w:lang w:val="en"/>
        </w:rPr>
        <w:t xml:space="preserve">bidder/s / tenderer/s </w:t>
      </w:r>
      <w:r w:rsidRPr="00C875C8">
        <w:rPr>
          <w:rFonts w:ascii="Adobe Garamond Pro" w:eastAsia="BundesSerif Office" w:hAnsi="Adobe Garamond Pro" w:cs="Times New Roman"/>
          <w:lang w:val="en"/>
        </w:rPr>
        <w:t xml:space="preserve">does/do not fall within the scope of the </w:t>
      </w:r>
      <w:r w:rsidRPr="00C875C8">
        <w:rPr>
          <w:rFonts w:ascii="Adobe Garamond Pro" w:eastAsia="BundesSerif Office" w:hAnsi="Adobe Garamond Pro" w:cs="Times New Roman"/>
          <w:b/>
          <w:bCs/>
          <w:lang w:val="en"/>
        </w:rPr>
        <w:t>persons or undertakings</w:t>
      </w:r>
      <w:r w:rsidRPr="00C875C8">
        <w:rPr>
          <w:rFonts w:ascii="Adobe Garamond Pro" w:eastAsia="BundesSerif Office" w:hAnsi="Adobe Garamond Pro" w:cs="Times New Roman"/>
          <w:lang w:val="en"/>
        </w:rPr>
        <w:t xml:space="preserve"> </w:t>
      </w:r>
      <w:r w:rsidRPr="00C875C8">
        <w:rPr>
          <w:rFonts w:ascii="Adobe Garamond Pro" w:eastAsia="BundesSerif Office" w:hAnsi="Adobe Garamond Pro" w:cs="Times New Roman"/>
          <w:b/>
          <w:bCs/>
          <w:lang w:val="en"/>
        </w:rPr>
        <w:t>referred to</w:t>
      </w:r>
      <w:r w:rsidRPr="00C875C8">
        <w:rPr>
          <w:rFonts w:ascii="Adobe Garamond Pro" w:eastAsia="BundesSerif Office" w:hAnsi="Adobe Garamond Pro" w:cs="Times New Roman"/>
          <w:lang w:val="en"/>
        </w:rPr>
        <w:t xml:space="preserve"> </w:t>
      </w:r>
    </w:p>
    <w:p w14:paraId="2F1CFEC0" w14:textId="77777777" w:rsidR="003F0487" w:rsidRPr="003253F8" w:rsidRDefault="003F0487" w:rsidP="003F0487">
      <w:pPr>
        <w:spacing w:after="200" w:line="276" w:lineRule="auto"/>
        <w:rPr>
          <w:rFonts w:ascii="Adobe Garamond Pro" w:eastAsia="BundesSerif Office" w:hAnsi="Adobe Garamond Pro" w:cs="Times New Roman"/>
          <w:lang w:val="en-US"/>
        </w:rPr>
      </w:pPr>
      <w:r w:rsidRPr="00C875C8">
        <w:rPr>
          <w:rFonts w:ascii="Adobe Garamond Pro" w:eastAsia="BundesSerif Office" w:hAnsi="Adobe Garamond Pro" w:cs="Times New Roman"/>
          <w:b/>
          <w:bCs/>
          <w:lang w:val="en"/>
        </w:rPr>
        <w:t xml:space="preserve">in Article 5k </w:t>
      </w:r>
      <w:r w:rsidRPr="00C875C8">
        <w:rPr>
          <w:rFonts w:ascii="Adobe Garamond Pro" w:eastAsia="BundesSerif Office" w:hAnsi="Adobe Garamond Pro" w:cs="Times New Roman"/>
          <w:lang w:val="en"/>
        </w:rPr>
        <w:t>section 1</w:t>
      </w:r>
      <w:r w:rsidRPr="00C875C8">
        <w:rPr>
          <w:rFonts w:ascii="Adobe Garamond Pro" w:eastAsia="BundesSerif Office" w:hAnsi="Adobe Garamond Pro" w:cs="Times New Roman"/>
          <w:b/>
          <w:bCs/>
          <w:lang w:val="en"/>
        </w:rPr>
        <w:t xml:space="preserve"> </w:t>
      </w:r>
      <w:r w:rsidRPr="00C875C8">
        <w:rPr>
          <w:rFonts w:ascii="Adobe Garamond Pro" w:eastAsia="BundesSerif Office" w:hAnsi="Adobe Garamond Pro" w:cs="Times New Roman"/>
          <w:lang w:val="en"/>
        </w:rPr>
        <w:t>of the Regulation (EU) No 833/2014 as amended on 8 April 2022 in Article 1 (23) of the Council Regulation (EU) 2022/576</w:t>
      </w:r>
      <w:r w:rsidRPr="00C875C8">
        <w:rPr>
          <w:rFonts w:ascii="Adobe Garamond Pro" w:eastAsia="BundesSerif Office" w:hAnsi="Adobe Garamond Pro" w:cs="Times New Roman"/>
          <w:b/>
          <w:bCs/>
          <w:lang w:val="en"/>
        </w:rPr>
        <w:t xml:space="preserve"> </w:t>
      </w:r>
      <w:r w:rsidRPr="00C875C8">
        <w:rPr>
          <w:rFonts w:ascii="Adobe Garamond Pro" w:eastAsia="BundesSerif Office" w:hAnsi="Adobe Garamond Pro" w:cs="Times New Roman"/>
          <w:lang w:val="en"/>
        </w:rPr>
        <w:t xml:space="preserve">concerning restrictive measures in view of Russia’s actions </w:t>
      </w:r>
      <w:proofErr w:type="spellStart"/>
      <w:r w:rsidRPr="00C875C8">
        <w:rPr>
          <w:rFonts w:ascii="Adobe Garamond Pro" w:eastAsia="BundesSerif Office" w:hAnsi="Adobe Garamond Pro" w:cs="Times New Roman"/>
          <w:lang w:val="en"/>
        </w:rPr>
        <w:t>destabilising</w:t>
      </w:r>
      <w:proofErr w:type="spellEnd"/>
      <w:r w:rsidRPr="00C875C8">
        <w:rPr>
          <w:rFonts w:ascii="Adobe Garamond Pro" w:eastAsia="BundesSerif Office" w:hAnsi="Adobe Garamond Pro" w:cs="Times New Roman"/>
          <w:lang w:val="en"/>
        </w:rPr>
        <w:t xml:space="preserve"> the situation in Ukraine,</w:t>
      </w:r>
    </w:p>
    <w:p w14:paraId="0665D530" w14:textId="77777777" w:rsidR="003F0487" w:rsidRPr="003253F8" w:rsidRDefault="003F0487" w:rsidP="003F0487">
      <w:pPr>
        <w:spacing w:after="200" w:line="276" w:lineRule="auto"/>
        <w:rPr>
          <w:rFonts w:ascii="Adobe Garamond Pro" w:eastAsia="BundesSerif Office" w:hAnsi="Adobe Garamond Pro" w:cs="Times New Roman"/>
          <w:b/>
          <w:lang w:val="en-US"/>
        </w:rPr>
      </w:pPr>
      <w:r w:rsidRPr="00C875C8">
        <w:rPr>
          <w:rFonts w:ascii="Adobe Garamond Pro" w:eastAsia="BundesSerif Office" w:hAnsi="Adobe Garamond Pro" w:cs="Times New Roman"/>
          <w:b/>
          <w:bCs/>
          <w:u w:val="single"/>
          <w:lang w:val="en"/>
        </w:rPr>
        <w:t>who have a connection to Russia</w:t>
      </w:r>
      <w:r w:rsidRPr="00C875C8">
        <w:rPr>
          <w:rFonts w:ascii="Adobe Garamond Pro" w:eastAsia="BundesSerif Office" w:hAnsi="Adobe Garamond Pro" w:cs="Times New Roman"/>
          <w:b/>
          <w:bCs/>
          <w:lang w:val="en"/>
        </w:rPr>
        <w:t xml:space="preserve"> within the meaning of the provision, </w:t>
      </w:r>
    </w:p>
    <w:p w14:paraId="0BB036DB" w14:textId="77777777" w:rsidR="003F0487" w:rsidRPr="003253F8" w:rsidRDefault="003F0487" w:rsidP="003F0487">
      <w:pPr>
        <w:numPr>
          <w:ilvl w:val="0"/>
          <w:numId w:val="1"/>
        </w:numPr>
        <w:spacing w:after="200" w:line="276" w:lineRule="auto"/>
        <w:contextualSpacing/>
        <w:rPr>
          <w:rFonts w:ascii="Adobe Garamond Pro" w:eastAsia="BundesSerif Office" w:hAnsi="Adobe Garamond Pro" w:cs="Times New Roman"/>
          <w:b/>
          <w:lang w:val="en-US"/>
        </w:rPr>
      </w:pPr>
      <w:r w:rsidRPr="00C875C8">
        <w:rPr>
          <w:rFonts w:ascii="Adobe Garamond Pro" w:eastAsia="BundesSerif Office" w:hAnsi="Adobe Garamond Pro" w:cs="Times New Roman"/>
          <w:b/>
          <w:bCs/>
          <w:lang w:val="en"/>
        </w:rPr>
        <w:t>either by the Russian nationality of the bidder/tenderer or the establishment of the bidder/tenderer in Russia;</w:t>
      </w:r>
    </w:p>
    <w:p w14:paraId="02352DAE" w14:textId="77777777" w:rsidR="003F0487" w:rsidRPr="003253F8" w:rsidRDefault="003F0487" w:rsidP="003F0487">
      <w:pPr>
        <w:numPr>
          <w:ilvl w:val="0"/>
          <w:numId w:val="1"/>
        </w:numPr>
        <w:spacing w:after="200" w:line="276" w:lineRule="auto"/>
        <w:contextualSpacing/>
        <w:rPr>
          <w:rFonts w:ascii="Adobe Garamond Pro" w:eastAsia="BundesSerif Office" w:hAnsi="Adobe Garamond Pro" w:cs="Times New Roman"/>
          <w:b/>
          <w:lang w:val="en-US"/>
        </w:rPr>
      </w:pPr>
      <w:r w:rsidRPr="00C875C8">
        <w:rPr>
          <w:rFonts w:ascii="Adobe Garamond Pro" w:eastAsia="BundesSerif Office" w:hAnsi="Adobe Garamond Pro" w:cs="Times New Roman"/>
          <w:b/>
          <w:bCs/>
          <w:lang w:val="en"/>
        </w:rPr>
        <w:t>or by the involvement of a natural or legal person, entity or body, who holds proprietary rights to the bidder/tenderer of more than 50 % and to whom one of the criteria under point (a) applies;</w:t>
      </w:r>
    </w:p>
    <w:p w14:paraId="4D260F94" w14:textId="77777777" w:rsidR="003F0487" w:rsidRPr="003253F8" w:rsidRDefault="003F0487" w:rsidP="003F0487">
      <w:pPr>
        <w:numPr>
          <w:ilvl w:val="0"/>
          <w:numId w:val="1"/>
        </w:numPr>
        <w:spacing w:after="200" w:line="276" w:lineRule="auto"/>
        <w:contextualSpacing/>
        <w:rPr>
          <w:rFonts w:ascii="Adobe Garamond Pro" w:eastAsia="BundesSerif Office" w:hAnsi="Adobe Garamond Pro" w:cs="Times New Roman"/>
          <w:b/>
          <w:lang w:val="en-US"/>
        </w:rPr>
      </w:pPr>
      <w:r w:rsidRPr="00C875C8">
        <w:rPr>
          <w:rFonts w:ascii="Adobe Garamond Pro" w:eastAsia="BundesSerif Office" w:hAnsi="Adobe Garamond Pro" w:cs="Times New Roman"/>
          <w:b/>
          <w:bCs/>
          <w:lang w:val="en"/>
        </w:rPr>
        <w:t>or by the bidder/tenderer acting on behalf of or at the direction of persons or undertakings to whom the criteria in points (a) and/or (b) apply.</w:t>
      </w:r>
    </w:p>
    <w:p w14:paraId="4830706B" w14:textId="77777777" w:rsidR="0006323D" w:rsidRPr="003253F8" w:rsidRDefault="0006323D" w:rsidP="0006323D">
      <w:pPr>
        <w:spacing w:after="200" w:line="276" w:lineRule="auto"/>
        <w:ind w:left="720"/>
        <w:contextualSpacing/>
        <w:rPr>
          <w:rFonts w:ascii="BundesSerif Office" w:eastAsia="BundesSerif Office" w:hAnsi="BundesSerif Office" w:cs="Times New Roman"/>
          <w:b/>
          <w:lang w:val="en-US"/>
        </w:rPr>
      </w:pPr>
    </w:p>
    <w:p w14:paraId="05558693" w14:textId="77777777" w:rsidR="003F0487" w:rsidRPr="003253F8" w:rsidRDefault="003F0487" w:rsidP="00606A0D">
      <w:pPr>
        <w:spacing w:after="200" w:line="276" w:lineRule="auto"/>
        <w:ind w:left="360" w:hanging="360"/>
        <w:rPr>
          <w:rFonts w:ascii="BundesSerif Office" w:eastAsia="BundesSerif Office" w:hAnsi="BundesSerif Office" w:cs="Times New Roman"/>
          <w:lang w:val="en-US"/>
        </w:rPr>
      </w:pPr>
      <w:r>
        <w:rPr>
          <w:rFonts w:ascii="BundesSerif Office" w:eastAsia="BundesSerif Office" w:hAnsi="BundesSerif Office" w:cs="Times New Roman"/>
          <w:lang w:val="en"/>
        </w:rPr>
        <w:t>2.</w:t>
      </w:r>
      <w:r>
        <w:rPr>
          <w:rFonts w:ascii="BundesSerif Office" w:eastAsia="BundesSerif Office" w:hAnsi="BundesSerif Office" w:cs="Times New Roman"/>
          <w:lang w:val="en"/>
        </w:rPr>
        <w:tab/>
      </w:r>
      <w:r w:rsidRPr="00606A0D">
        <w:rPr>
          <w:rFonts w:ascii="Adobe Garamond Pro" w:eastAsia="BundesSerif Office" w:hAnsi="Adobe Garamond Pro" w:cs="Times New Roman"/>
          <w:lang w:val="en"/>
        </w:rPr>
        <w:t xml:space="preserve">Undertakings involved in the contract as </w:t>
      </w:r>
      <w:r w:rsidRPr="00606A0D">
        <w:rPr>
          <w:rFonts w:ascii="Adobe Garamond Pro" w:eastAsia="BundesSerif Office" w:hAnsi="Adobe Garamond Pro" w:cs="Times New Roman"/>
          <w:b/>
          <w:bCs/>
          <w:lang w:val="en"/>
        </w:rPr>
        <w:t xml:space="preserve">subcontractors, suppliers or entities whose capacities are being relied on in connection with the provision of the evidence of suitability </w:t>
      </w:r>
      <w:r w:rsidRPr="00606A0D">
        <w:rPr>
          <w:rFonts w:ascii="Adobe Garamond Pro" w:eastAsia="BundesSerif Office" w:hAnsi="Adobe Garamond Pro" w:cs="Times New Roman"/>
          <w:lang w:val="en"/>
        </w:rPr>
        <w:t>and which account for more than 10 % of the contract value do also not fall within the group of persons with a connection to Russia within the meaning of the provision.</w:t>
      </w:r>
    </w:p>
    <w:p w14:paraId="3D1876BE" w14:textId="77777777" w:rsidR="003F0487" w:rsidRPr="003253F8" w:rsidRDefault="003F0487" w:rsidP="00606A0D">
      <w:pPr>
        <w:spacing w:after="200" w:line="276" w:lineRule="auto"/>
        <w:ind w:left="360" w:hanging="360"/>
        <w:rPr>
          <w:rFonts w:ascii="BundesSerif Office" w:eastAsia="BundesSerif Office" w:hAnsi="BundesSerif Office" w:cs="Times New Roman"/>
          <w:lang w:val="en-US"/>
        </w:rPr>
      </w:pPr>
      <w:r>
        <w:rPr>
          <w:rFonts w:ascii="BundesSerif Office" w:eastAsia="BundesSerif Office" w:hAnsi="BundesSerif Office" w:cs="Times New Roman"/>
          <w:lang w:val="en"/>
        </w:rPr>
        <w:lastRenderedPageBreak/>
        <w:t>3.</w:t>
      </w:r>
      <w:r>
        <w:rPr>
          <w:rFonts w:ascii="BundesSerif Office" w:eastAsia="BundesSerif Office" w:hAnsi="BundesSerif Office" w:cs="Times New Roman"/>
          <w:lang w:val="en"/>
        </w:rPr>
        <w:tab/>
      </w:r>
      <w:r w:rsidRPr="00606A0D">
        <w:rPr>
          <w:rFonts w:ascii="Adobe Garamond Pro" w:eastAsia="BundesSerif Office" w:hAnsi="Adobe Garamond Pro" w:cs="Times New Roman"/>
          <w:lang w:val="en"/>
        </w:rPr>
        <w:t xml:space="preserve">It is confirmed and ensured that also during the term of the contract no such undertakings will be used or involved as </w:t>
      </w:r>
      <w:r w:rsidRPr="00606A0D">
        <w:rPr>
          <w:rFonts w:ascii="Adobe Garamond Pro" w:eastAsia="BundesSerif Office" w:hAnsi="Adobe Garamond Pro" w:cs="Times New Roman"/>
          <w:b/>
          <w:bCs/>
          <w:lang w:val="en"/>
        </w:rPr>
        <w:t xml:space="preserve">subcontractors, suppliers or entities whose capacities are being relied on in connection with the provision of the evidence of suitability </w:t>
      </w:r>
      <w:r w:rsidRPr="00606A0D">
        <w:rPr>
          <w:rFonts w:ascii="Adobe Garamond Pro" w:eastAsia="BundesSerif Office" w:hAnsi="Adobe Garamond Pro" w:cs="Times New Roman"/>
          <w:lang w:val="en"/>
        </w:rPr>
        <w:t>and which account for more than 10 % of the contract value.</w:t>
      </w:r>
    </w:p>
    <w:p w14:paraId="5EE7193A" w14:textId="77777777" w:rsidR="00606A0D" w:rsidRPr="003253F8" w:rsidRDefault="00606A0D" w:rsidP="003F0487">
      <w:pPr>
        <w:spacing w:after="200" w:line="276" w:lineRule="auto"/>
        <w:rPr>
          <w:rFonts w:ascii="BundesSerif Office" w:eastAsia="BundesSerif Office" w:hAnsi="BundesSerif Office" w:cs="Times New Roman"/>
          <w:lang w:val="en-US"/>
        </w:rPr>
      </w:pPr>
    </w:p>
    <w:p w14:paraId="6E90197B" w14:textId="6DA7F175" w:rsidR="003F0487" w:rsidRPr="003253F8" w:rsidRDefault="00606A0D" w:rsidP="003F0487">
      <w:pPr>
        <w:spacing w:after="200" w:line="276" w:lineRule="auto"/>
        <w:rPr>
          <w:rFonts w:ascii="BundesSerif Office" w:eastAsia="BundesSerif Office" w:hAnsi="BundesSerif Office" w:cs="Times New Roman"/>
          <w:lang w:val="en-US"/>
        </w:rPr>
      </w:pPr>
      <w:r>
        <w:rPr>
          <w:rFonts w:ascii="Adobe Garamond Pro" w:hAnsi="Adobe Garamond Pro"/>
          <w:noProof/>
          <w:lang w:eastAsia="de-DE"/>
        </w:rPr>
        <mc:AlternateContent>
          <mc:Choice Requires="wpg">
            <w:drawing>
              <wp:anchor distT="0" distB="0" distL="114300" distR="114300" simplePos="0" relativeHeight="251663360" behindDoc="1" locked="0" layoutInCell="1" allowOverlap="1" wp14:anchorId="336E7232" wp14:editId="2F1FAFCC">
                <wp:simplePos x="0" y="0"/>
                <wp:positionH relativeFrom="margin">
                  <wp:posOffset>0</wp:posOffset>
                </wp:positionH>
                <wp:positionV relativeFrom="paragraph">
                  <wp:posOffset>0</wp:posOffset>
                </wp:positionV>
                <wp:extent cx="4391025" cy="297815"/>
                <wp:effectExtent l="0" t="0" r="9525" b="0"/>
                <wp:wrapNone/>
                <wp:docPr id="6"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1025" cy="297815"/>
                          <a:chOff x="2968" y="307"/>
                          <a:chExt cx="7532" cy="289"/>
                        </a:xfrm>
                      </wpg:grpSpPr>
                      <wpg:grpSp>
                        <wpg:cNvPr id="13" name="Group 87"/>
                        <wpg:cNvGrpSpPr>
                          <a:grpSpLocks/>
                        </wpg:cNvGrpSpPr>
                        <wpg:grpSpPr bwMode="auto">
                          <a:xfrm>
                            <a:off x="2978" y="317"/>
                            <a:ext cx="7512" cy="269"/>
                            <a:chOff x="2978" y="317"/>
                            <a:chExt cx="7512" cy="269"/>
                          </a:xfrm>
                        </wpg:grpSpPr>
                        <wps:wsp>
                          <wps:cNvPr id="14"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85"/>
                        <wpg:cNvGrpSpPr>
                          <a:grpSpLocks/>
                        </wpg:cNvGrpSpPr>
                        <wpg:grpSpPr bwMode="auto">
                          <a:xfrm>
                            <a:off x="2978" y="559"/>
                            <a:ext cx="7512" cy="2"/>
                            <a:chOff x="2978" y="559"/>
                            <a:chExt cx="7512" cy="2"/>
                          </a:xfrm>
                        </wpg:grpSpPr>
                        <wps:wsp>
                          <wps:cNvPr id="16" name="Freeform 86"/>
                          <wps:cNvSpPr>
                            <a:spLocks/>
                          </wps:cNvSpPr>
                          <wps:spPr bwMode="auto">
                            <a:xfrm>
                              <a:off x="2978" y="559"/>
                              <a:ext cx="7512" cy="2"/>
                            </a:xfrm>
                            <a:custGeom>
                              <a:avLst/>
                              <a:gdLst>
                                <a:gd name="T0" fmla="+- 0 2978 2978"/>
                                <a:gd name="T1" fmla="*/ T0 w 7512"/>
                                <a:gd name="T2" fmla="+- 0 10490 2978"/>
                                <a:gd name="T3" fmla="*/ T2 w 7512"/>
                              </a:gdLst>
                              <a:ahLst/>
                              <a:cxnLst>
                                <a:cxn ang="0">
                                  <a:pos x="T1" y="0"/>
                                </a:cxn>
                                <a:cxn ang="0">
                                  <a:pos x="T3" y="0"/>
                                </a:cxn>
                              </a:cxnLst>
                              <a:rect l="0" t="0" r="r" b="b"/>
                              <a:pathLst>
                                <a:path w="7512">
                                  <a:moveTo>
                                    <a:pt x="0" y="0"/>
                                  </a:moveTo>
                                  <a:lnTo>
                                    <a:pt x="7512"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0B677B1" id="Group 84" o:spid="_x0000_s1026" style="position:absolute;margin-left:0;margin-top:0;width:345.75pt;height:23.45pt;z-index:-251653120;mso-position-horizontal-relative:margin" coordorigin="2968,307" coordsize="7532,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">
                <v:group id="Group 87" o:spid="_x0000_s1027" style="position:absolute;left:2978;top:317;width:7512;height:269" coordorigin="2978,317"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88" o:spid="_x0000_s1028"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" path="m,l7512,r,269l,269,,xe" fillcolor="#efefef" stroked="f">
                    <v:path arrowok="t" o:connecttype="custom" o:connectlocs="0,317;7512,317;7512,586;0,586;0,317" o:connectangles="0,0,0,0,0"/>
                  </v:shape>
                </v:group>
                <v:group id="Group 85" o:spid="_x0000_s1029" style="position:absolute;left:2978;top:559;width:7512;height:2" coordorigin="2978,559"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86" o:spid="_x0000_s1030" style="position:absolute;left:2978;top:559;width:7512;height:2;visibility:visible;mso-wrap-style:square;v-text-anchor:top" coordsize="7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" path="m,l7512,e" filled="f" strokeweight=".7pt">
                    <v:path arrowok="t" o:connecttype="custom" o:connectlocs="0,0;7512,0" o:connectangles="0,0"/>
                  </v:shape>
                </v:group>
                <w10:wrap anchorx="margin"/>
              </v:group>
            </w:pict>
          </mc:Fallback>
        </mc:AlternateContent>
      </w:r>
    </w:p>
    <w:p w14:paraId="6525EED1" w14:textId="77777777" w:rsidR="00606A0D" w:rsidRPr="003253F8" w:rsidRDefault="00606A0D" w:rsidP="00606A0D">
      <w:pPr>
        <w:rPr>
          <w:rFonts w:ascii="Adobe Garamond Pro" w:hAnsi="Adobe Garamond Pro" w:cs="Arial"/>
          <w:sz w:val="18"/>
          <w:szCs w:val="16"/>
          <w:lang w:val="en-US"/>
        </w:rPr>
      </w:pPr>
      <w:r w:rsidRPr="003253F8">
        <w:rPr>
          <w:rFonts w:ascii="Adobe Garamond Pro" w:hAnsi="Adobe Garamond Pro"/>
          <w:sz w:val="18"/>
          <w:szCs w:val="16"/>
          <w:lang w:val="en-US"/>
        </w:rPr>
        <w:t>Place, date, company, first and last name of the declarant (natural person)</w:t>
      </w:r>
    </w:p>
    <w:p w14:paraId="0A1A2644" w14:textId="71DA88F7" w:rsidR="00606A0D" w:rsidRPr="003253F8" w:rsidRDefault="00606A0D" w:rsidP="00606A0D">
      <w:pPr>
        <w:autoSpaceDE w:val="0"/>
        <w:autoSpaceDN w:val="0"/>
        <w:adjustRightInd w:val="0"/>
        <w:ind w:right="-2"/>
        <w:jc w:val="both"/>
        <w:rPr>
          <w:rFonts w:ascii="Adobe Garamond Pro" w:hAnsi="Adobe Garamond Pro" w:cs="Arial"/>
          <w:lang w:val="en-US"/>
        </w:rPr>
      </w:pPr>
      <w:r w:rsidRPr="003253F8">
        <w:rPr>
          <w:rFonts w:ascii="Adobe Garamond Pro" w:hAnsi="Adobe Garamond Pro"/>
          <w:lang w:val="en-US"/>
        </w:rPr>
        <w:t xml:space="preserve">The company and the natural person making the declaration must be named in text form for signature. This declaration, and all its components, shall be made by uploading it to the e-procurement platform. An (electronic) signature is not required. </w:t>
      </w:r>
    </w:p>
    <w:p w14:paraId="725B76ED" w14:textId="77777777" w:rsidR="00370F44" w:rsidRPr="003253F8" w:rsidRDefault="00370F44" w:rsidP="003F0487">
      <w:pPr>
        <w:spacing w:after="200" w:line="276" w:lineRule="auto"/>
        <w:rPr>
          <w:rFonts w:ascii="BundesSerif Office" w:eastAsia="BundesSerif Office" w:hAnsi="BundesSerif Office" w:cs="Times New Roman"/>
          <w:b/>
          <w:lang w:val="en-US"/>
        </w:rPr>
      </w:pPr>
    </w:p>
    <w:p w14:paraId="39EE52F1" w14:textId="77777777" w:rsidR="003F0487" w:rsidRPr="003253F8" w:rsidRDefault="003F0487">
      <w:pPr>
        <w:rPr>
          <w:rFonts w:ascii="BundesSerif Office" w:eastAsia="BundesSerif Office" w:hAnsi="BundesSerif Office" w:cs="Times New Roman"/>
          <w:b/>
          <w:sz w:val="20"/>
          <w:szCs w:val="20"/>
          <w:lang w:val="en-US"/>
        </w:rPr>
      </w:pPr>
      <w:r>
        <w:rPr>
          <w:rFonts w:ascii="BundesSerif Office" w:eastAsia="BundesSerif Office" w:hAnsi="BundesSerif Office" w:cs="Times New Roman"/>
          <w:lang w:val="en"/>
        </w:rPr>
        <w:br w:type="page"/>
      </w:r>
      <w:r>
        <w:rPr>
          <w:rFonts w:ascii="BundesSerif Office" w:eastAsia="BundesSerif Office" w:hAnsi="BundesSerif Office" w:cs="Times New Roman"/>
          <w:b/>
          <w:bCs/>
          <w:sz w:val="20"/>
          <w:szCs w:val="20"/>
          <w:lang w:val="en"/>
        </w:rPr>
        <w:lastRenderedPageBreak/>
        <w:t>Article 5k of the Regulation (EU) No 833/2014 as amended on 8 April 2022 in Article 1 (23) of the Council Regulation (EU) 2022/576 reads as follows:</w:t>
      </w:r>
    </w:p>
    <w:p w14:paraId="7026F773" w14:textId="77777777" w:rsidR="0027401B" w:rsidRPr="0056276F" w:rsidRDefault="003F0487"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Pr>
          <w:rFonts w:ascii="BundesSerif Office" w:eastAsia="BundesSerif Office" w:hAnsi="BundesSerif Office" w:cs="Times New Roman"/>
          <w:i/>
          <w:iCs/>
          <w:sz w:val="20"/>
          <w:szCs w:val="20"/>
          <w:lang w:val="en"/>
        </w:rPr>
        <w:t xml:space="preserve"> </w:t>
      </w:r>
      <w:r w:rsidR="0027401B">
        <w:rPr>
          <w:rFonts w:ascii="BundesSerif Office" w:eastAsia="BundesSerif Office" w:hAnsi="BundesSerif Office" w:cs="Times New Roman"/>
          <w:i/>
          <w:iCs/>
          <w:sz w:val="20"/>
          <w:szCs w:val="20"/>
          <w:lang w:val="en-GB"/>
        </w:rPr>
        <w:t xml:space="preserve">1. </w:t>
      </w:r>
      <w:r w:rsidR="0027401B">
        <w:rPr>
          <w:rFonts w:ascii="BundesSerif Office" w:eastAsia="BundesSerif Office" w:hAnsi="BundesSerif Office" w:cs="Times New Roman"/>
          <w:i/>
          <w:iCs/>
          <w:sz w:val="20"/>
          <w:szCs w:val="20"/>
          <w:lang w:val="en-GB"/>
        </w:rPr>
        <w:tab/>
      </w:r>
      <w:r w:rsidR="0027401B" w:rsidRPr="0056276F">
        <w:rPr>
          <w:rFonts w:ascii="BundesSerif Office" w:eastAsia="BundesSerif Office" w:hAnsi="BundesSerif Office" w:cs="Times New Roman"/>
          <w:i/>
          <w:iCs/>
          <w:sz w:val="20"/>
          <w:szCs w:val="20"/>
          <w:lang w:val="en-GB"/>
        </w:rPr>
        <w:t>It shall be prohibited to award or continue the execution of any public or concession contract falling within the</w:t>
      </w:r>
      <w:r w:rsidR="0027401B">
        <w:rPr>
          <w:rFonts w:ascii="BundesSerif Office" w:eastAsia="BundesSerif Office" w:hAnsi="BundesSerif Office" w:cs="Times New Roman"/>
          <w:i/>
          <w:iCs/>
          <w:sz w:val="20"/>
          <w:szCs w:val="20"/>
          <w:lang w:val="en-GB"/>
        </w:rPr>
        <w:t xml:space="preserve"> </w:t>
      </w:r>
      <w:r w:rsidR="0027401B" w:rsidRPr="0056276F">
        <w:rPr>
          <w:rFonts w:ascii="BundesSerif Office" w:eastAsia="BundesSerif Office" w:hAnsi="BundesSerif Office" w:cs="Times New Roman"/>
          <w:i/>
          <w:iCs/>
          <w:sz w:val="20"/>
          <w:szCs w:val="20"/>
          <w:lang w:val="en-GB"/>
        </w:rPr>
        <w:t>scope of the public procurement Directives, as well as Article 10, paragraphs 1, 3, 6(a) to 6(e), 8, 9 and 10,</w:t>
      </w:r>
      <w:r w:rsidR="0027401B">
        <w:rPr>
          <w:rFonts w:ascii="BundesSerif Office" w:eastAsia="BundesSerif Office" w:hAnsi="BundesSerif Office" w:cs="Times New Roman"/>
          <w:i/>
          <w:iCs/>
          <w:sz w:val="20"/>
          <w:szCs w:val="20"/>
          <w:lang w:val="en-GB"/>
        </w:rPr>
        <w:t xml:space="preserve"> </w:t>
      </w:r>
      <w:r w:rsidR="0027401B" w:rsidRPr="0056276F">
        <w:rPr>
          <w:rFonts w:ascii="BundesSerif Office" w:eastAsia="BundesSerif Office" w:hAnsi="BundesSerif Office" w:cs="Times New Roman"/>
          <w:i/>
          <w:iCs/>
          <w:sz w:val="20"/>
          <w:szCs w:val="20"/>
          <w:lang w:val="en-GB"/>
        </w:rPr>
        <w:t>Articles 11, 12, 13 and 14 of Directive 2014/23/EU, Article 7 and 8, Article 10 (b) to (f) and (h) to (j) of</w:t>
      </w:r>
      <w:r w:rsidR="0027401B">
        <w:rPr>
          <w:rFonts w:ascii="BundesSerif Office" w:eastAsia="BundesSerif Office" w:hAnsi="BundesSerif Office" w:cs="Times New Roman"/>
          <w:i/>
          <w:iCs/>
          <w:sz w:val="20"/>
          <w:szCs w:val="20"/>
          <w:lang w:val="en-GB"/>
        </w:rPr>
        <w:t xml:space="preserve"> </w:t>
      </w:r>
      <w:r w:rsidR="0027401B" w:rsidRPr="0056276F">
        <w:rPr>
          <w:rFonts w:ascii="BundesSerif Office" w:eastAsia="BundesSerif Office" w:hAnsi="BundesSerif Office" w:cs="Times New Roman"/>
          <w:i/>
          <w:iCs/>
          <w:sz w:val="20"/>
          <w:szCs w:val="20"/>
          <w:lang w:val="en-GB"/>
        </w:rPr>
        <w:t>Directive 2014/24/EU, Article 18, Article 21 (b) to (e) and (g) to (i), Articles 29 and 30 of Directive 2014/25/EU and</w:t>
      </w:r>
      <w:r w:rsidR="0027401B">
        <w:rPr>
          <w:rFonts w:ascii="BundesSerif Office" w:eastAsia="BundesSerif Office" w:hAnsi="BundesSerif Office" w:cs="Times New Roman"/>
          <w:i/>
          <w:iCs/>
          <w:sz w:val="20"/>
          <w:szCs w:val="20"/>
          <w:lang w:val="en-GB"/>
        </w:rPr>
        <w:t xml:space="preserve"> </w:t>
      </w:r>
      <w:r w:rsidR="0027401B" w:rsidRPr="0056276F">
        <w:rPr>
          <w:rFonts w:ascii="BundesSerif Office" w:eastAsia="BundesSerif Office" w:hAnsi="BundesSerif Office" w:cs="Times New Roman"/>
          <w:i/>
          <w:iCs/>
          <w:sz w:val="20"/>
          <w:szCs w:val="20"/>
          <w:lang w:val="en-GB"/>
        </w:rPr>
        <w:t>Article 13 (a) to (d), (f) to (h) and (j) of Directive 2009/81/EC, to or with:</w:t>
      </w:r>
    </w:p>
    <w:p w14:paraId="21EFEBBE"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(a)</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a Russian national, or a natural or legal person, entity or body established in Russia;</w:t>
      </w:r>
    </w:p>
    <w:p w14:paraId="0C33A055"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(b)</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a legal person, entity or body whose proprietary rights are directly or indirectly owned for more than 50 % by an</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entity referred to in point (a) of this paragraph; or</w:t>
      </w:r>
    </w:p>
    <w:p w14:paraId="339A9B38"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 xml:space="preserve">(c)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a natural or legal person, entity or body acting on behalf or at the direction of an entity referred to in point (a) or</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(b) of this paragraph,</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including, where they account for more than 10 % of the contract value, subcontractors, suppliers or entities whose</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capacities are being relied on within the meaning of the public procurement Directives.</w:t>
      </w:r>
    </w:p>
    <w:p w14:paraId="4D4191FA"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 xml:space="preserve">2.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By way of derogation from paragraph 1, the competent authorities may authorise the award and continued</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execution of contracts intended for:</w:t>
      </w:r>
    </w:p>
    <w:p w14:paraId="678A0D78"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 xml:space="preserve">(a)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the operation, maintenance, decommissioning and radioactive waste management, fuel supply and retreatment</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and safety of civil nuclear capabilities, and the continuation of design, construction and commissioning required</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for the completion of civil nuclear facilities, as well as the supply of precursor material for the production of</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medical radioisotopes and similar medical applications, critical technology for</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environmental radiation</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monitoring, as well as civil nuclear cooperation, in particular in the field of research and development;</w:t>
      </w:r>
    </w:p>
    <w:p w14:paraId="363392C8"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 xml:space="preserve">(b)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intergovernmental cooperation in space programmes;</w:t>
      </w:r>
    </w:p>
    <w:p w14:paraId="7392C27E"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 xml:space="preserve">(c)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the provision of strictly necessary goods or services which can only be provided, or which can only be provided</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in sufficient quantities, by the persons referred to in paragraph 1;</w:t>
      </w:r>
    </w:p>
    <w:p w14:paraId="603C52AF"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 xml:space="preserve">(d)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the functioning of diplomatic and consular representations of the Union and of the Member States in Russia,</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including delegations, embassies and missions, or international organisations in Russia enjoying immunities in</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accordance with international law;</w:t>
      </w:r>
    </w:p>
    <w:p w14:paraId="053CE79B"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 xml:space="preserve">(e)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the purchase, import or transport of natural gas and oil, including refined petroleum products, as well as</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titanium, aluminium, copper, nickel, palladium and iron ore from or through Russia into the Union; or</w:t>
      </w:r>
    </w:p>
    <w:p w14:paraId="0C8DEB98"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 xml:space="preserve">(f)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the purchase, import or transport into the Union of coal and other solid fossil fuels, as listed in Annex XXII until</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10 August 2022.</w:t>
      </w:r>
    </w:p>
    <w:p w14:paraId="3B93E83B" w14:textId="77777777" w:rsidR="0027401B" w:rsidRPr="0056276F" w:rsidRDefault="0027401B" w:rsidP="0027401B">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lang w:val="en-GB"/>
        </w:rPr>
      </w:pPr>
      <w:r w:rsidRPr="0056276F">
        <w:rPr>
          <w:rFonts w:ascii="BundesSerif Office" w:eastAsia="BundesSerif Office" w:hAnsi="BundesSerif Office" w:cs="Times New Roman"/>
          <w:i/>
          <w:iCs/>
          <w:sz w:val="20"/>
          <w:szCs w:val="20"/>
          <w:lang w:val="en-GB"/>
        </w:rPr>
        <w:t xml:space="preserve">3.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The Member State concerned shall inform the other Member States and the Commission of any authorisations</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granted under this Article within two weeks of the authorisation.</w:t>
      </w:r>
    </w:p>
    <w:p w14:paraId="1C1DE4A8" w14:textId="7D4844D1" w:rsidR="00DC1E01" w:rsidRPr="0027401B" w:rsidRDefault="0027401B" w:rsidP="0027401B">
      <w:pPr>
        <w:pBdr>
          <w:top w:val="single" w:sz="4" w:space="1" w:color="auto"/>
          <w:left w:val="single" w:sz="4" w:space="1" w:color="auto"/>
          <w:bottom w:val="single" w:sz="4" w:space="1" w:color="auto"/>
          <w:right w:val="single" w:sz="4" w:space="1" w:color="auto"/>
        </w:pBdr>
        <w:spacing w:after="200" w:line="276" w:lineRule="auto"/>
        <w:rPr>
          <w:sz w:val="20"/>
          <w:szCs w:val="20"/>
          <w:lang w:val="en-GB"/>
        </w:rPr>
      </w:pPr>
      <w:r w:rsidRPr="0056276F">
        <w:rPr>
          <w:rFonts w:ascii="BundesSerif Office" w:eastAsia="BundesSerif Office" w:hAnsi="BundesSerif Office" w:cs="Times New Roman"/>
          <w:i/>
          <w:iCs/>
          <w:sz w:val="20"/>
          <w:szCs w:val="20"/>
          <w:lang w:val="en-GB"/>
        </w:rPr>
        <w:t xml:space="preserve">4. </w:t>
      </w:r>
      <w:r>
        <w:rPr>
          <w:rFonts w:ascii="BundesSerif Office" w:eastAsia="BundesSerif Office" w:hAnsi="BundesSerif Office" w:cs="Times New Roman"/>
          <w:i/>
          <w:iCs/>
          <w:sz w:val="20"/>
          <w:szCs w:val="20"/>
          <w:lang w:val="en-GB"/>
        </w:rPr>
        <w:tab/>
      </w:r>
      <w:r w:rsidRPr="0056276F">
        <w:rPr>
          <w:rFonts w:ascii="BundesSerif Office" w:eastAsia="BundesSerif Office" w:hAnsi="BundesSerif Office" w:cs="Times New Roman"/>
          <w:i/>
          <w:iCs/>
          <w:sz w:val="20"/>
          <w:szCs w:val="20"/>
          <w:lang w:val="en-GB"/>
        </w:rPr>
        <w:t>The prohibitions in paragraph 1 shall not apply to the execution until 10 October 2022 of contracts concluded</w:t>
      </w:r>
      <w:r>
        <w:rPr>
          <w:rFonts w:ascii="BundesSerif Office" w:eastAsia="BundesSerif Office" w:hAnsi="BundesSerif Office" w:cs="Times New Roman"/>
          <w:i/>
          <w:iCs/>
          <w:sz w:val="20"/>
          <w:szCs w:val="20"/>
          <w:lang w:val="en-GB"/>
        </w:rPr>
        <w:t xml:space="preserve"> </w:t>
      </w:r>
      <w:r w:rsidRPr="0056276F">
        <w:rPr>
          <w:rFonts w:ascii="BundesSerif Office" w:eastAsia="BundesSerif Office" w:hAnsi="BundesSerif Office" w:cs="Times New Roman"/>
          <w:i/>
          <w:iCs/>
          <w:sz w:val="20"/>
          <w:szCs w:val="20"/>
          <w:lang w:val="en-GB"/>
        </w:rPr>
        <w:t>before 9 April 2022.</w:t>
      </w:r>
    </w:p>
    <w:sectPr w:rsidR="00DC1E01" w:rsidRPr="0027401B" w:rsidSect="00370F44">
      <w:headerReference w:type="default" r:id="rId10"/>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B588F" w14:textId="77777777" w:rsidR="00C26DC9" w:rsidRDefault="00C26DC9" w:rsidP="002A3419">
      <w:pPr>
        <w:spacing w:after="0" w:line="240" w:lineRule="auto"/>
      </w:pPr>
      <w:r>
        <w:separator/>
      </w:r>
    </w:p>
  </w:endnote>
  <w:endnote w:type="continuationSeparator" w:id="0">
    <w:p w14:paraId="7E356C24" w14:textId="77777777" w:rsidR="00C26DC9" w:rsidRDefault="00C26DC9" w:rsidP="002A3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dobe Garamond Pro">
    <w:altName w:val="Adobe Garamond Pro"/>
    <w:panose1 w:val="02020502060506020403"/>
    <w:charset w:val="00"/>
    <w:family w:val="roma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Garamond Pro Bold">
    <w:altName w:val="Adobe Garamond Pro Bold"/>
    <w:panose1 w:val="02020702060506020403"/>
    <w:charset w:val="00"/>
    <w:family w:val="roman"/>
    <w:notTrueType/>
    <w:pitch w:val="variable"/>
    <w:sig w:usb0="00000007" w:usb1="00000001" w:usb2="00000000" w:usb3="00000000" w:csb0="00000093" w:csb1="00000000"/>
  </w:font>
  <w:font w:name="BundesSerif Office">
    <w:altName w:val="Times New Roman"/>
    <w:charset w:val="00"/>
    <w:family w:val="roman"/>
    <w:pitch w:val="variable"/>
    <w:sig w:usb0="00000001" w:usb1="4000206B" w:usb2="00000000" w:usb3="00000000" w:csb0="00000093" w:csb1="00000000"/>
  </w:font>
  <w:font w:name="DIN-Medium">
    <w:panose1 w:val="02000603040000020004"/>
    <w:charset w:val="00"/>
    <w:family w:val="auto"/>
    <w:pitch w:val="variable"/>
    <w:sig w:usb0="80000027"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30DCE" w14:textId="77777777" w:rsidR="00C26DC9" w:rsidRDefault="00C26DC9" w:rsidP="002A3419">
      <w:pPr>
        <w:spacing w:after="0" w:line="240" w:lineRule="auto"/>
      </w:pPr>
      <w:r>
        <w:separator/>
      </w:r>
    </w:p>
  </w:footnote>
  <w:footnote w:type="continuationSeparator" w:id="0">
    <w:p w14:paraId="1BF56B44" w14:textId="77777777" w:rsidR="00C26DC9" w:rsidRDefault="00C26DC9" w:rsidP="002A3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0B487" w14:textId="724D51EF" w:rsidR="002A3419" w:rsidRDefault="002A3419" w:rsidP="002A3419">
    <w:pPr>
      <w:pStyle w:val="Kopfzeile"/>
      <w:tabs>
        <w:tab w:val="clear" w:pos="4536"/>
        <w:tab w:val="clear" w:pos="9072"/>
        <w:tab w:val="left" w:pos="7695"/>
      </w:tabs>
      <w:jc w:val="right"/>
    </w:pPr>
    <w:r>
      <w:rPr>
        <w:rFonts w:ascii="DIN-Medium" w:hAnsi="DIN-Medium"/>
        <w:noProof/>
        <w:sz w:val="32"/>
        <w:lang w:eastAsia="de-DE"/>
      </w:rPr>
      <w:drawing>
        <wp:inline distT="0" distB="0" distL="0" distR="0" wp14:anchorId="0D0675EF" wp14:editId="4BE6FEEF">
          <wp:extent cx="2202815" cy="1105535"/>
          <wp:effectExtent l="0" t="0" r="0" b="0"/>
          <wp:docPr id="12" name="Grafik 12" descr="Logo_DWI_4C_Brief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DWI_4C_Briefb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2815" cy="1105535"/>
                  </a:xfrm>
                  <a:prstGeom prst="rect">
                    <a:avLst/>
                  </a:prstGeom>
                  <a:noFill/>
                  <a:ln>
                    <a:noFill/>
                  </a:ln>
                </pic:spPr>
              </pic:pic>
            </a:graphicData>
          </a:graphic>
        </wp:inline>
      </w:drawing>
    </w:r>
  </w:p>
  <w:p w14:paraId="51D67FD7" w14:textId="77777777" w:rsidR="002A3419" w:rsidRDefault="002A341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679284B"/>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0723802">
    <w:abstractNumId w:val="0"/>
  </w:num>
  <w:num w:numId="2" w16cid:durableId="6754249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7604B"/>
    <w:rsid w:val="0027401B"/>
    <w:rsid w:val="002A3419"/>
    <w:rsid w:val="003253F8"/>
    <w:rsid w:val="00361AD6"/>
    <w:rsid w:val="00370F44"/>
    <w:rsid w:val="003B3C54"/>
    <w:rsid w:val="003F0487"/>
    <w:rsid w:val="00452E97"/>
    <w:rsid w:val="004E5013"/>
    <w:rsid w:val="00604A09"/>
    <w:rsid w:val="00606A0D"/>
    <w:rsid w:val="007044CE"/>
    <w:rsid w:val="00736DB5"/>
    <w:rsid w:val="007609A5"/>
    <w:rsid w:val="007F0766"/>
    <w:rsid w:val="00A43A13"/>
    <w:rsid w:val="00AE3DE9"/>
    <w:rsid w:val="00B8041F"/>
    <w:rsid w:val="00C26DC9"/>
    <w:rsid w:val="00C76851"/>
    <w:rsid w:val="00C875C8"/>
    <w:rsid w:val="00D05BBA"/>
    <w:rsid w:val="00DC1E01"/>
    <w:rsid w:val="00E73C8C"/>
    <w:rsid w:val="00E75740"/>
    <w:rsid w:val="00F27C78"/>
    <w:rsid w:val="00F4054C"/>
    <w:rsid w:val="00FD4A2C"/>
    <w:rsid w:val="00FE682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EE6CF"/>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341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3419"/>
  </w:style>
  <w:style w:type="paragraph" w:styleId="Fuzeile">
    <w:name w:val="footer"/>
    <w:basedOn w:val="Standard"/>
    <w:link w:val="FuzeileZchn"/>
    <w:uiPriority w:val="99"/>
    <w:unhideWhenUsed/>
    <w:rsid w:val="002A341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A3419"/>
  </w:style>
  <w:style w:type="paragraph" w:styleId="Listenabsatz">
    <w:name w:val="List Paragraph"/>
    <w:basedOn w:val="Standard"/>
    <w:uiPriority w:val="1"/>
    <w:qFormat/>
    <w:rsid w:val="002A3419"/>
    <w:pPr>
      <w:widowControl w:val="0"/>
      <w:autoSpaceDE w:val="0"/>
      <w:autoSpaceDN w:val="0"/>
      <w:spacing w:after="0" w:line="240" w:lineRule="auto"/>
      <w:ind w:left="733" w:hanging="576"/>
    </w:pPr>
    <w:rPr>
      <w:rFonts w:ascii="Adobe Garamond Pro" w:eastAsia="Adobe Garamond Pro" w:hAnsi="Adobe Garamond Pro" w:cs="Adobe Garamond Pro"/>
      <w:lang w:val="en-US"/>
    </w:rPr>
  </w:style>
  <w:style w:type="paragraph" w:styleId="Textkrper">
    <w:name w:val="Body Text"/>
    <w:basedOn w:val="Standard"/>
    <w:link w:val="TextkrperZchn"/>
    <w:uiPriority w:val="99"/>
    <w:rsid w:val="002A3419"/>
    <w:pPr>
      <w:widowControl w:val="0"/>
      <w:spacing w:after="0" w:line="240" w:lineRule="auto"/>
      <w:ind w:left="2138"/>
    </w:pPr>
    <w:rPr>
      <w:rFonts w:ascii="Arial" w:eastAsia="Calibri" w:hAnsi="Arial" w:cs="Times New Roman"/>
      <w:sz w:val="24"/>
      <w:szCs w:val="24"/>
      <w:lang w:val="en-GB"/>
    </w:rPr>
  </w:style>
  <w:style w:type="character" w:customStyle="1" w:styleId="TextkrperZchn">
    <w:name w:val="Textkörper Zchn"/>
    <w:basedOn w:val="Absatz-Standardschriftart"/>
    <w:link w:val="Textkrper"/>
    <w:uiPriority w:val="99"/>
    <w:rsid w:val="002A3419"/>
    <w:rPr>
      <w:rFonts w:ascii="Arial" w:eastAsia="Calibri" w:hAnsi="Arial" w:cs="Times New Roman"/>
      <w:sz w:val="24"/>
      <w:szCs w:val="24"/>
      <w:lang w:val="en-GB"/>
    </w:rPr>
  </w:style>
  <w:style w:type="character" w:styleId="Kommentarzeichen">
    <w:name w:val="annotation reference"/>
    <w:basedOn w:val="Absatz-Standardschriftart"/>
    <w:uiPriority w:val="99"/>
    <w:semiHidden/>
    <w:unhideWhenUsed/>
    <w:rsid w:val="003B3C54"/>
    <w:rPr>
      <w:sz w:val="16"/>
      <w:szCs w:val="16"/>
    </w:rPr>
  </w:style>
  <w:style w:type="paragraph" w:styleId="Kommentartext">
    <w:name w:val="annotation text"/>
    <w:basedOn w:val="Standard"/>
    <w:link w:val="KommentartextZchn"/>
    <w:uiPriority w:val="99"/>
    <w:semiHidden/>
    <w:unhideWhenUsed/>
    <w:rsid w:val="003B3C5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B3C54"/>
    <w:rPr>
      <w:sz w:val="20"/>
      <w:szCs w:val="20"/>
    </w:rPr>
  </w:style>
  <w:style w:type="paragraph" w:styleId="Kommentarthema">
    <w:name w:val="annotation subject"/>
    <w:basedOn w:val="Kommentartext"/>
    <w:next w:val="Kommentartext"/>
    <w:link w:val="KommentarthemaZchn"/>
    <w:uiPriority w:val="99"/>
    <w:semiHidden/>
    <w:unhideWhenUsed/>
    <w:rsid w:val="003B3C54"/>
    <w:rPr>
      <w:b/>
      <w:bCs/>
    </w:rPr>
  </w:style>
  <w:style w:type="character" w:customStyle="1" w:styleId="KommentarthemaZchn">
    <w:name w:val="Kommentarthema Zchn"/>
    <w:basedOn w:val="KommentartextZchn"/>
    <w:link w:val="Kommentarthema"/>
    <w:uiPriority w:val="99"/>
    <w:semiHidden/>
    <w:rsid w:val="003B3C54"/>
    <w:rPr>
      <w:b/>
      <w:bCs/>
      <w:sz w:val="20"/>
      <w:szCs w:val="20"/>
    </w:rPr>
  </w:style>
  <w:style w:type="paragraph" w:styleId="Sprechblasentext">
    <w:name w:val="Balloon Text"/>
    <w:basedOn w:val="Standard"/>
    <w:link w:val="SprechblasentextZchn"/>
    <w:uiPriority w:val="99"/>
    <w:semiHidden/>
    <w:unhideWhenUsed/>
    <w:rsid w:val="003B3C5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B3C54"/>
    <w:rPr>
      <w:rFonts w:ascii="Segoe UI" w:hAnsi="Segoe UI" w:cs="Segoe UI"/>
      <w:sz w:val="18"/>
      <w:szCs w:val="18"/>
    </w:rPr>
  </w:style>
  <w:style w:type="paragraph" w:styleId="berarbeitung">
    <w:name w:val="Revision"/>
    <w:hidden/>
    <w:uiPriority w:val="99"/>
    <w:semiHidden/>
    <w:rsid w:val="00FD4A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177447-73f6-4da5-a1c0-d007266b4f34">
      <Terms xmlns="http://schemas.microsoft.com/office/infopath/2007/PartnerControls"/>
    </lcf76f155ced4ddcb4097134ff3c332f>
    <TaxCatchAll xmlns="7066dda1-b834-42a1-9006-3ad9ab8cea9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F6AECC54FAC6448A77EAE6A8D3E761" ma:contentTypeVersion="12" ma:contentTypeDescription="Ein neues Dokument erstellen." ma:contentTypeScope="" ma:versionID="7db336a6a90eade8c74a4eb54057586b">
  <xsd:schema xmlns:xsd="http://www.w3.org/2001/XMLSchema" xmlns:xs="http://www.w3.org/2001/XMLSchema" xmlns:p="http://schemas.microsoft.com/office/2006/metadata/properties" xmlns:ns2="c8177447-73f6-4da5-a1c0-d007266b4f34" xmlns:ns3="7066dda1-b834-42a1-9006-3ad9ab8cea9a" targetNamespace="http://schemas.microsoft.com/office/2006/metadata/properties" ma:root="true" ma:fieldsID="e90518b8b03e9838f454f2335c9bec96" ns2:_="" ns3:_="">
    <xsd:import namespace="c8177447-73f6-4da5-a1c0-d007266b4f34"/>
    <xsd:import namespace="7066dda1-b834-42a1-9006-3ad9ab8cea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77447-73f6-4da5-a1c0-d007266b4f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57f4e16f-d0b4-486f-8ba8-a77ee7be98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66dda1-b834-42a1-9006-3ad9ab8cea9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8f6cb4a-525e-467c-b277-c41081a9262d}" ma:internalName="TaxCatchAll" ma:showField="CatchAllData" ma:web="7066dda1-b834-42a1-9006-3ad9ab8cea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BD1041-E114-478F-80E0-B82F7C64F5F1}">
  <ds:schemaRefs>
    <ds:schemaRef ds:uri="http://schemas.microsoft.com/sharepoint/v3/contenttype/forms"/>
  </ds:schemaRefs>
</ds:datastoreItem>
</file>

<file path=customXml/itemProps2.xml><?xml version="1.0" encoding="utf-8"?>
<ds:datastoreItem xmlns:ds="http://schemas.openxmlformats.org/officeDocument/2006/customXml" ds:itemID="{9C4E5530-62C5-493B-BD64-B53B08A7C3EE}">
  <ds:schemaRefs>
    <ds:schemaRef ds:uri="http://schemas.microsoft.com/office/2006/metadata/properties"/>
    <ds:schemaRef ds:uri="http://schemas.microsoft.com/office/infopath/2007/PartnerControls"/>
    <ds:schemaRef ds:uri="c8177447-73f6-4da5-a1c0-d007266b4f34"/>
    <ds:schemaRef ds:uri="7066dda1-b834-42a1-9006-3ad9ab8cea9a"/>
  </ds:schemaRefs>
</ds:datastoreItem>
</file>

<file path=customXml/itemProps3.xml><?xml version="1.0" encoding="utf-8"?>
<ds:datastoreItem xmlns:ds="http://schemas.openxmlformats.org/officeDocument/2006/customXml" ds:itemID="{BB6810B3-6B78-47E1-A789-29D0D9C11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77447-73f6-4da5-a1c0-d007266b4f34"/>
    <ds:schemaRef ds:uri="7066dda1-b834-42a1-9006-3ad9ab8ce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4829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Nina Longerich</cp:lastModifiedBy>
  <cp:revision>16</cp:revision>
  <cp:lastPrinted>2023-09-18T08:39:00Z</cp:lastPrinted>
  <dcterms:created xsi:type="dcterms:W3CDTF">2022-04-22T06:54:00Z</dcterms:created>
  <dcterms:modified xsi:type="dcterms:W3CDTF">2026-05-06T09:37:00Z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0x0101004DF6AECC54FAC6448A77EAE6A8D3E761</vt:lpwstr>
  </property>
  <property fmtid="{D5CDD505-2E9C-101B-9397-08002B2CF9AE}" pid="3" name="Order">
    <vt:r8>2007800</vt:r8>
  </property>
  <property fmtid="{D5CDD505-2E9C-101B-9397-08002B2CF9AE}" pid="4" name="MediaServiceImageTags">
    <vt:lpwstr/>
  </property>
</Properties>
</file>